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97DD4" w:rsidTr="00497DD4">
        <w:trPr>
          <w:tblCellSpacing w:w="0" w:type="dxa"/>
        </w:trPr>
        <w:tc>
          <w:tcPr>
            <w:tcW w:w="0" w:type="auto"/>
            <w:shd w:val="clear" w:color="auto" w:fill="FFFFFF"/>
            <w:vAlign w:val="center"/>
            <w:hideMark/>
          </w:tcPr>
          <w:tbl>
            <w:tblPr>
              <w:tblW w:w="11250" w:type="dxa"/>
              <w:jc w:val="center"/>
              <w:tblCellSpacing w:w="0" w:type="dxa"/>
              <w:tblBorders>
                <w:top w:val="single" w:sz="8" w:space="0" w:color="725B49"/>
                <w:left w:val="single" w:sz="8" w:space="0" w:color="725B49"/>
                <w:bottom w:val="single" w:sz="8" w:space="0" w:color="725B49"/>
                <w:right w:val="single" w:sz="8" w:space="0" w:color="725B49"/>
              </w:tblBorders>
              <w:shd w:val="clear" w:color="auto" w:fill="FFFFFF"/>
              <w:tblCellMar>
                <w:left w:w="0" w:type="dxa"/>
                <w:right w:w="0" w:type="dxa"/>
              </w:tblCellMar>
              <w:tblLook w:val="04A0" w:firstRow="1" w:lastRow="0" w:firstColumn="1" w:lastColumn="0" w:noHBand="0" w:noVBand="1"/>
            </w:tblPr>
            <w:tblGrid>
              <w:gridCol w:w="9360"/>
            </w:tblGrid>
            <w:tr w:rsidR="00497DD4">
              <w:trPr>
                <w:tblCellSpacing w:w="0" w:type="dxa"/>
                <w:jc w:val="center"/>
              </w:trPr>
              <w:tc>
                <w:tcPr>
                  <w:tcW w:w="11250" w:type="dxa"/>
                  <w:tcBorders>
                    <w:top w:val="nil"/>
                    <w:left w:val="nil"/>
                    <w:bottom w:val="nil"/>
                    <w:right w:val="nil"/>
                  </w:tcBorders>
                  <w:shd w:val="clear" w:color="auto" w:fill="FFFFFF"/>
                  <w:vAlign w:val="center"/>
                </w:tcPr>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497DD4">
                    <w:trPr>
                      <w:tblCellSpacing w:w="0" w:type="dxa"/>
                    </w:trPr>
                    <w:tc>
                      <w:tcPr>
                        <w:tcW w:w="0" w:type="auto"/>
                        <w:shd w:val="clear" w:color="auto" w:fill="FFFFFF"/>
                        <w:hideMark/>
                      </w:tcPr>
                      <w:p w:rsidR="00497DD4" w:rsidRDefault="00497DD4">
                        <w:pPr>
                          <w:rPr>
                            <w:rFonts w:eastAsia="Times New Roman"/>
                          </w:rPr>
                        </w:pPr>
                      </w:p>
                    </w:tc>
                  </w:tr>
                </w:tbl>
                <w:p w:rsidR="00497DD4" w:rsidRDefault="00497DD4">
                  <w:pPr>
                    <w:rPr>
                      <w:rFonts w:eastAsia="Times New Roman"/>
                      <w:vanish/>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418"/>
                    <w:gridCol w:w="9208"/>
                    <w:gridCol w:w="1624"/>
                  </w:tblGrid>
                  <w:tr w:rsidR="00497DD4" w:rsidTr="00497DD4">
                    <w:trPr>
                      <w:tblCellSpacing w:w="0" w:type="dxa"/>
                    </w:trPr>
                    <w:tc>
                      <w:tcPr>
                        <w:tcW w:w="450" w:type="dxa"/>
                        <w:shd w:val="clear" w:color="auto" w:fill="FFFFFF"/>
                        <w:tcMar>
                          <w:top w:w="90" w:type="dxa"/>
                          <w:left w:w="0" w:type="dxa"/>
                          <w:bottom w:w="0" w:type="dxa"/>
                          <w:right w:w="0" w:type="dxa"/>
                        </w:tcMar>
                      </w:tcPr>
                      <w:p w:rsidR="00497DD4" w:rsidRDefault="00497DD4">
                        <w:pPr>
                          <w:rPr>
                            <w:rFonts w:eastAsia="Times New Roman"/>
                          </w:rPr>
                        </w:pPr>
                      </w:p>
                    </w:tc>
                    <w:tc>
                      <w:tcPr>
                        <w:tcW w:w="9750" w:type="dxa"/>
                        <w:shd w:val="clear" w:color="auto" w:fill="FFFFFF"/>
                        <w:hideMark/>
                      </w:tcPr>
                      <w:p w:rsidR="00497DD4" w:rsidRDefault="00497DD4">
                        <w:pPr>
                          <w:pStyle w:val="NormalWeb"/>
                          <w:spacing w:before="300" w:beforeAutospacing="0" w:line="450" w:lineRule="atLeast"/>
                        </w:pPr>
                        <w:r>
                          <w:rPr>
                            <w:rStyle w:val="Strong"/>
                            <w:color w:val="6B24AD"/>
                            <w:sz w:val="39"/>
                            <w:szCs w:val="39"/>
                          </w:rPr>
                          <w:t>Learn breakthrough interventions for your practice</w:t>
                        </w:r>
                      </w:p>
                      <w:p w:rsidR="00497DD4" w:rsidRDefault="00497DD4">
                        <w:pPr>
                          <w:pStyle w:val="NormalWeb"/>
                          <w:spacing w:line="270" w:lineRule="atLeast"/>
                        </w:pPr>
                        <w:r>
                          <w:rPr>
                            <w:sz w:val="23"/>
                            <w:szCs w:val="23"/>
                          </w:rPr>
                          <w:t>One of the most unappreciated causes of chronic disease: Toxins. Environmental toxins can disrupt the endocrine system—and are linked to metabolic syndrome, obesity, hypothyroidism, autoimmune thyroid disease, low testosterone, estrogen dominance, diabetes, cancer, autism, heart disease, and Parkinson’s disease. This dynamic conference introduces you to the latest targeted treatment strategies so you can better help your patients.</w:t>
                        </w:r>
                      </w:p>
                      <w:p w:rsidR="00497DD4" w:rsidRDefault="00497DD4">
                        <w:pPr>
                          <w:pStyle w:val="NormalWeb"/>
                          <w:spacing w:line="270" w:lineRule="atLeast"/>
                        </w:pPr>
                        <w:r>
                          <w:rPr>
                            <w:sz w:val="23"/>
                            <w:szCs w:val="23"/>
                          </w:rPr>
                          <w:t>Discover the interaction between hormones, nutrients, toxins, as well as the mind and body. From the basics of detoxifications to heavy metals and the order of interventions, you’ll soon see how understanding the best ways to assess exposure and apply treatments will help you address the impact of toxins before the onset of chronic disease.</w:t>
                        </w:r>
                      </w:p>
                      <w:p w:rsidR="00497DD4" w:rsidRDefault="00497DD4">
                        <w:pPr>
                          <w:pStyle w:val="NormalWeb"/>
                          <w:spacing w:after="450" w:afterAutospacing="0"/>
                        </w:pPr>
                        <w:r>
                          <w:rPr>
                            <w:color w:val="6B24AD"/>
                            <w:sz w:val="36"/>
                            <w:szCs w:val="36"/>
                          </w:rPr>
                          <w:t>Save now with early registration -</w:t>
                        </w:r>
                        <w:r>
                          <w:rPr>
                            <w:rStyle w:val="apple-converted-space"/>
                            <w:color w:val="6B24AD"/>
                            <w:sz w:val="36"/>
                            <w:szCs w:val="36"/>
                          </w:rPr>
                          <w:t> </w:t>
                        </w:r>
                        <w:hyperlink r:id="rId5" w:tgtFrame="_blank" w:history="1">
                          <w:r>
                            <w:rPr>
                              <w:rStyle w:val="Strong"/>
                              <w:color w:val="6B24AD"/>
                              <w:sz w:val="45"/>
                              <w:szCs w:val="45"/>
                              <w:u w:val="single"/>
                              <w:bdr w:val="none" w:sz="0" w:space="0" w:color="auto" w:frame="1"/>
                            </w:rPr>
                            <w:t>Register Today!</w:t>
                          </w:r>
                        </w:hyperlink>
                      </w:p>
                    </w:tc>
                    <w:tc>
                      <w:tcPr>
                        <w:tcW w:w="1050" w:type="dxa"/>
                        <w:shd w:val="clear" w:color="auto" w:fill="FFFFFF"/>
                        <w:vAlign w:val="bottom"/>
                        <w:hideMark/>
                      </w:tcPr>
                      <w:p w:rsidR="00497DD4" w:rsidRDefault="00497DD4">
                        <w:pPr>
                          <w:rPr>
                            <w:rFonts w:eastAsia="Times New Roman"/>
                          </w:rPr>
                        </w:pPr>
                        <w:r>
                          <w:rPr>
                            <w:rFonts w:eastAsia="Times New Roman"/>
                            <w:bdr w:val="single" w:sz="8" w:space="0" w:color="auto" w:frame="1"/>
                          </w:rPr>
                          <w:t>&lt;image002.jpg&gt;</w:t>
                        </w:r>
                      </w:p>
                    </w:tc>
                  </w:tr>
                </w:tbl>
                <w:p w:rsidR="00497DD4" w:rsidRDefault="00497DD4">
                  <w:pPr>
                    <w:rPr>
                      <w:rFonts w:eastAsia="Times New Roman"/>
                      <w:vanish/>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497DD4">
                    <w:trPr>
                      <w:tblCellSpacing w:w="0" w:type="dxa"/>
                    </w:trPr>
                    <w:tc>
                      <w:tcPr>
                        <w:tcW w:w="0" w:type="auto"/>
                        <w:shd w:val="clear" w:color="auto" w:fill="137990"/>
                        <w:vAlign w:val="center"/>
                        <w:hideMark/>
                      </w:tcPr>
                      <w:p w:rsidR="00497DD4" w:rsidRDefault="00497DD4">
                        <w:pPr>
                          <w:rPr>
                            <w:rFonts w:eastAsia="Times New Roman"/>
                          </w:rPr>
                        </w:pPr>
                      </w:p>
                    </w:tc>
                  </w:tr>
                </w:tbl>
                <w:p w:rsidR="00497DD4" w:rsidRDefault="00497DD4">
                  <w:pPr>
                    <w:rPr>
                      <w:rFonts w:eastAsia="Times New Roman"/>
                      <w:vanish/>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241"/>
                    <w:gridCol w:w="5171"/>
                    <w:gridCol w:w="182"/>
                    <w:gridCol w:w="165"/>
                    <w:gridCol w:w="3867"/>
                    <w:gridCol w:w="1624"/>
                  </w:tblGrid>
                  <w:tr w:rsidR="00497DD4">
                    <w:trPr>
                      <w:tblCellSpacing w:w="0" w:type="dxa"/>
                    </w:trPr>
                    <w:tc>
                      <w:tcPr>
                        <w:tcW w:w="330" w:type="dxa"/>
                        <w:shd w:val="clear" w:color="auto" w:fill="FFFFFF"/>
                        <w:tcMar>
                          <w:top w:w="90" w:type="dxa"/>
                          <w:left w:w="0" w:type="dxa"/>
                          <w:bottom w:w="0" w:type="dxa"/>
                          <w:right w:w="0" w:type="dxa"/>
                        </w:tcMar>
                        <w:hideMark/>
                      </w:tcPr>
                      <w:p w:rsidR="00497DD4" w:rsidRDefault="00497DD4">
                        <w:pPr>
                          <w:rPr>
                            <w:rFonts w:eastAsia="Times New Roman"/>
                          </w:rPr>
                        </w:pPr>
                      </w:p>
                    </w:tc>
                    <w:tc>
                      <w:tcPr>
                        <w:tcW w:w="5610" w:type="dxa"/>
                        <w:shd w:val="clear" w:color="auto" w:fill="FFFFFF"/>
                        <w:tcMar>
                          <w:top w:w="30" w:type="dxa"/>
                          <w:left w:w="0" w:type="dxa"/>
                          <w:bottom w:w="0" w:type="dxa"/>
                          <w:right w:w="0" w:type="dxa"/>
                        </w:tcMar>
                        <w:hideMark/>
                      </w:tcPr>
                      <w:p w:rsidR="00497DD4" w:rsidRDefault="00497DD4">
                        <w:pPr>
                          <w:pStyle w:val="NormalWeb"/>
                          <w:spacing w:line="405" w:lineRule="atLeast"/>
                        </w:pPr>
                        <w:r>
                          <w:rPr>
                            <w:color w:val="666666"/>
                            <w:sz w:val="33"/>
                            <w:szCs w:val="33"/>
                          </w:rPr>
                          <w:t>Selected Lectures:</w:t>
                        </w:r>
                        <w:r>
                          <w:rPr>
                            <w:rStyle w:val="apple-converted-space"/>
                            <w:color w:val="666666"/>
                            <w:sz w:val="33"/>
                            <w:szCs w:val="33"/>
                          </w:rPr>
                          <w:t> </w:t>
                        </w:r>
                        <w:r>
                          <w:rPr>
                            <w:b/>
                            <w:bCs/>
                            <w:color w:val="6B24AD"/>
                            <w:sz w:val="36"/>
                            <w:szCs w:val="36"/>
                          </w:rPr>
                          <w:br/>
                        </w:r>
                        <w:r>
                          <w:rPr>
                            <w:rStyle w:val="Strong"/>
                            <w:color w:val="6B24AD"/>
                            <w:sz w:val="36"/>
                            <w:szCs w:val="36"/>
                          </w:rPr>
                          <w:t>Toxins &amp; Detoxification</w:t>
                        </w:r>
                      </w:p>
                      <w:p w:rsidR="00497DD4" w:rsidRDefault="00497DD4">
                        <w:pPr>
                          <w:pStyle w:val="NormalWeb"/>
                          <w:shd w:val="clear" w:color="auto" w:fill="FFFFFF"/>
                          <w:spacing w:line="270" w:lineRule="atLeast"/>
                        </w:pPr>
                        <w:r>
                          <w:rPr>
                            <w:rStyle w:val="Strong"/>
                            <w:color w:val="048DAC"/>
                          </w:rPr>
                          <w:t>Introduction: The Interaction Between Hormones, Nutrients, Toxins, Mind and Body</w:t>
                        </w:r>
                        <w:r>
                          <w:rPr>
                            <w:color w:val="048DAC"/>
                          </w:rPr>
                          <w:br/>
                        </w:r>
                        <w:r>
                          <w:rPr>
                            <w:color w:val="048DAC"/>
                          </w:rPr>
                          <w:br/>
                        </w:r>
                        <w:proofErr w:type="spellStart"/>
                        <w:r>
                          <w:rPr>
                            <w:rStyle w:val="Strong"/>
                            <w:color w:val="333333"/>
                            <w:sz w:val="20"/>
                            <w:szCs w:val="20"/>
                          </w:rPr>
                          <w:t>Sangeeta</w:t>
                        </w:r>
                        <w:proofErr w:type="spellEnd"/>
                        <w:r>
                          <w:rPr>
                            <w:rStyle w:val="Strong"/>
                            <w:color w:val="333333"/>
                            <w:sz w:val="20"/>
                            <w:szCs w:val="20"/>
                          </w:rPr>
                          <w:t xml:space="preserve"> </w:t>
                        </w:r>
                        <w:proofErr w:type="spellStart"/>
                        <w:r>
                          <w:rPr>
                            <w:rStyle w:val="Strong"/>
                            <w:color w:val="333333"/>
                            <w:sz w:val="20"/>
                            <w:szCs w:val="20"/>
                          </w:rPr>
                          <w:t>Pati</w:t>
                        </w:r>
                        <w:proofErr w:type="spellEnd"/>
                        <w:r>
                          <w:rPr>
                            <w:rStyle w:val="Strong"/>
                            <w:color w:val="333333"/>
                            <w:sz w:val="20"/>
                            <w:szCs w:val="20"/>
                          </w:rPr>
                          <w:t>, M.D., FACOG</w:t>
                        </w:r>
                        <w:r>
                          <w:rPr>
                            <w:rStyle w:val="apple-converted-space"/>
                            <w:color w:val="333333"/>
                            <w:sz w:val="20"/>
                            <w:szCs w:val="20"/>
                          </w:rPr>
                          <w:t> </w:t>
                        </w:r>
                        <w:r>
                          <w:rPr>
                            <w:color w:val="333333"/>
                            <w:sz w:val="20"/>
                            <w:szCs w:val="20"/>
                          </w:rPr>
                          <w:br/>
                        </w:r>
                        <w:r>
                          <w:rPr>
                            <w:rStyle w:val="Emphasis"/>
                            <w:color w:val="333333"/>
                            <w:sz w:val="20"/>
                            <w:szCs w:val="20"/>
                          </w:rPr>
                          <w:t>Medical Director</w:t>
                        </w:r>
                        <w:r>
                          <w:rPr>
                            <w:color w:val="333333"/>
                            <w:sz w:val="20"/>
                            <w:szCs w:val="20"/>
                          </w:rPr>
                          <w:t xml:space="preserve">, </w:t>
                        </w:r>
                        <w:proofErr w:type="spellStart"/>
                        <w:r>
                          <w:rPr>
                            <w:color w:val="333333"/>
                            <w:sz w:val="20"/>
                            <w:szCs w:val="20"/>
                          </w:rPr>
                          <w:t>SaJune</w:t>
                        </w:r>
                        <w:proofErr w:type="spellEnd"/>
                        <w:r>
                          <w:rPr>
                            <w:color w:val="333333"/>
                            <w:sz w:val="20"/>
                            <w:szCs w:val="20"/>
                          </w:rPr>
                          <w:t xml:space="preserve"> Institute for Restorative and</w:t>
                        </w:r>
                        <w:r>
                          <w:rPr>
                            <w:rStyle w:val="apple-converted-space"/>
                            <w:color w:val="333333"/>
                            <w:sz w:val="20"/>
                            <w:szCs w:val="20"/>
                          </w:rPr>
                          <w:t> </w:t>
                        </w:r>
                        <w:r>
                          <w:rPr>
                            <w:color w:val="333333"/>
                            <w:sz w:val="20"/>
                            <w:szCs w:val="20"/>
                          </w:rPr>
                          <w:br/>
                          <w:t>Regenerative Medicine</w:t>
                        </w:r>
                        <w:r>
                          <w:rPr>
                            <w:rStyle w:val="apple-converted-space"/>
                            <w:color w:val="333333"/>
                            <w:sz w:val="20"/>
                            <w:szCs w:val="20"/>
                          </w:rPr>
                          <w:t> </w:t>
                        </w:r>
                        <w:r>
                          <w:rPr>
                            <w:color w:val="333333"/>
                            <w:sz w:val="20"/>
                            <w:szCs w:val="20"/>
                          </w:rPr>
                          <w:br/>
                        </w:r>
                        <w:r>
                          <w:rPr>
                            <w:rStyle w:val="Emphasis"/>
                            <w:color w:val="333333"/>
                            <w:sz w:val="20"/>
                            <w:szCs w:val="20"/>
                          </w:rPr>
                          <w:t>Board Certified</w:t>
                        </w:r>
                        <w:r>
                          <w:rPr>
                            <w:color w:val="333333"/>
                            <w:sz w:val="20"/>
                            <w:szCs w:val="20"/>
                          </w:rPr>
                          <w:t>, American Board of Obstetrics &amp; Gynecology</w:t>
                        </w:r>
                        <w:r>
                          <w:rPr>
                            <w:rStyle w:val="apple-converted-space"/>
                            <w:color w:val="333333"/>
                            <w:sz w:val="20"/>
                            <w:szCs w:val="20"/>
                          </w:rPr>
                          <w:t> </w:t>
                        </w:r>
                        <w:r>
                          <w:rPr>
                            <w:color w:val="333333"/>
                            <w:sz w:val="20"/>
                            <w:szCs w:val="20"/>
                          </w:rPr>
                          <w:br/>
                        </w:r>
                        <w:r>
                          <w:rPr>
                            <w:rStyle w:val="Emphasis"/>
                            <w:color w:val="333333"/>
                            <w:sz w:val="20"/>
                            <w:szCs w:val="20"/>
                          </w:rPr>
                          <w:t>Diplomat</w:t>
                        </w:r>
                        <w:r>
                          <w:rPr>
                            <w:color w:val="333333"/>
                            <w:sz w:val="20"/>
                            <w:szCs w:val="20"/>
                          </w:rPr>
                          <w:t>, Anti-Aging &amp; Regenerative Medicine</w:t>
                        </w:r>
                      </w:p>
                      <w:p w:rsidR="00497DD4" w:rsidRDefault="00497DD4">
                        <w:pPr>
                          <w:pStyle w:val="NormalWeb"/>
                          <w:spacing w:line="270" w:lineRule="atLeast"/>
                        </w:pPr>
                        <w:r>
                          <w:rPr>
                            <w:rStyle w:val="Strong"/>
                            <w:color w:val="048DAC"/>
                          </w:rPr>
                          <w:t>How to Identify and Address Toxins: Basic Detoxification</w:t>
                        </w:r>
                        <w:r>
                          <w:rPr>
                            <w:color w:val="048DAC"/>
                          </w:rPr>
                          <w:br/>
                        </w:r>
                        <w:r>
                          <w:rPr>
                            <w:b/>
                            <w:bCs/>
                            <w:color w:val="333333"/>
                            <w:sz w:val="20"/>
                            <w:szCs w:val="20"/>
                          </w:rPr>
                          <w:br/>
                        </w:r>
                        <w:r>
                          <w:rPr>
                            <w:rStyle w:val="Strong"/>
                            <w:color w:val="333333"/>
                            <w:sz w:val="20"/>
                            <w:szCs w:val="20"/>
                          </w:rPr>
                          <w:t xml:space="preserve">Todd </w:t>
                        </w:r>
                        <w:proofErr w:type="spellStart"/>
                        <w:r>
                          <w:rPr>
                            <w:rStyle w:val="Strong"/>
                            <w:color w:val="333333"/>
                            <w:sz w:val="20"/>
                            <w:szCs w:val="20"/>
                          </w:rPr>
                          <w:t>Gegerson</w:t>
                        </w:r>
                        <w:proofErr w:type="spellEnd"/>
                        <w:r>
                          <w:rPr>
                            <w:rStyle w:val="Strong"/>
                            <w:color w:val="333333"/>
                            <w:sz w:val="20"/>
                            <w:szCs w:val="20"/>
                          </w:rPr>
                          <w:t>, D.O.M.</w:t>
                        </w:r>
                        <w:r>
                          <w:rPr>
                            <w:rStyle w:val="apple-converted-space"/>
                            <w:color w:val="333333"/>
                            <w:sz w:val="20"/>
                            <w:szCs w:val="20"/>
                          </w:rPr>
                          <w:t> </w:t>
                        </w:r>
                        <w:r>
                          <w:rPr>
                            <w:color w:val="333333"/>
                            <w:sz w:val="20"/>
                            <w:szCs w:val="20"/>
                          </w:rPr>
                          <w:br/>
                        </w:r>
                        <w:r>
                          <w:rPr>
                            <w:rStyle w:val="Emphasis"/>
                            <w:color w:val="333333"/>
                            <w:sz w:val="20"/>
                            <w:szCs w:val="20"/>
                          </w:rPr>
                          <w:t>Faculty,</w:t>
                        </w:r>
                        <w:r>
                          <w:rPr>
                            <w:rStyle w:val="apple-converted-space"/>
                            <w:i/>
                            <w:iCs/>
                            <w:color w:val="333333"/>
                            <w:sz w:val="20"/>
                            <w:szCs w:val="20"/>
                          </w:rPr>
                          <w:t> </w:t>
                        </w:r>
                        <w:r>
                          <w:rPr>
                            <w:color w:val="333333"/>
                            <w:sz w:val="20"/>
                            <w:szCs w:val="20"/>
                          </w:rPr>
                          <w:t>Florida College of Integrative Medicine</w:t>
                        </w:r>
                        <w:r>
                          <w:rPr>
                            <w:color w:val="333333"/>
                            <w:sz w:val="20"/>
                            <w:szCs w:val="20"/>
                          </w:rPr>
                          <w:br/>
                        </w:r>
                        <w:r>
                          <w:rPr>
                            <w:rStyle w:val="Emphasis"/>
                            <w:color w:val="333333"/>
                            <w:sz w:val="20"/>
                            <w:szCs w:val="20"/>
                          </w:rPr>
                          <w:t>Acupuncture Physician,</w:t>
                        </w:r>
                        <w:r>
                          <w:rPr>
                            <w:rStyle w:val="apple-converted-space"/>
                            <w:i/>
                            <w:iCs/>
                            <w:color w:val="333333"/>
                            <w:sz w:val="20"/>
                            <w:szCs w:val="20"/>
                          </w:rPr>
                          <w:t> </w:t>
                        </w:r>
                        <w:proofErr w:type="spellStart"/>
                        <w:r>
                          <w:rPr>
                            <w:color w:val="333333"/>
                            <w:sz w:val="20"/>
                            <w:szCs w:val="20"/>
                          </w:rPr>
                          <w:t>SaJune</w:t>
                        </w:r>
                        <w:proofErr w:type="spellEnd"/>
                        <w:r>
                          <w:rPr>
                            <w:color w:val="333333"/>
                            <w:sz w:val="20"/>
                            <w:szCs w:val="20"/>
                          </w:rPr>
                          <w:t xml:space="preserve"> Institute for Restorative and Regenerative Medicine, Orlando, FL</w:t>
                        </w:r>
                      </w:p>
                      <w:p w:rsidR="00497DD4" w:rsidRDefault="00497DD4">
                        <w:pPr>
                          <w:pStyle w:val="NormalWeb"/>
                          <w:spacing w:line="270" w:lineRule="atLeast"/>
                        </w:pPr>
                        <w:r>
                          <w:rPr>
                            <w:rStyle w:val="Strong"/>
                            <w:color w:val="048DAC"/>
                          </w:rPr>
                          <w:t>Heavy Metals as Endocrine Disruptors</w:t>
                        </w:r>
                        <w:r>
                          <w:rPr>
                            <w:color w:val="048DAC"/>
                          </w:rPr>
                          <w:br/>
                        </w:r>
                        <w:r>
                          <w:rPr>
                            <w:b/>
                            <w:bCs/>
                            <w:color w:val="333333"/>
                            <w:sz w:val="20"/>
                            <w:szCs w:val="20"/>
                          </w:rPr>
                          <w:br/>
                        </w:r>
                        <w:r>
                          <w:rPr>
                            <w:rStyle w:val="Strong"/>
                            <w:color w:val="333333"/>
                            <w:sz w:val="20"/>
                            <w:szCs w:val="20"/>
                          </w:rPr>
                          <w:t>Edwin N. Lee, M.D., F.A.C.E.</w:t>
                        </w:r>
                        <w:r>
                          <w:rPr>
                            <w:rStyle w:val="apple-converted-space"/>
                            <w:color w:val="333333"/>
                            <w:sz w:val="20"/>
                            <w:szCs w:val="20"/>
                          </w:rPr>
                          <w:t> </w:t>
                        </w:r>
                        <w:r>
                          <w:rPr>
                            <w:color w:val="333333"/>
                            <w:sz w:val="20"/>
                            <w:szCs w:val="20"/>
                          </w:rPr>
                          <w:br/>
                        </w:r>
                        <w:r>
                          <w:rPr>
                            <w:rStyle w:val="Emphasis"/>
                            <w:color w:val="333333"/>
                            <w:sz w:val="20"/>
                            <w:szCs w:val="20"/>
                          </w:rPr>
                          <w:t>Assistant Professor of Internal Medicine</w:t>
                        </w:r>
                        <w:r>
                          <w:rPr>
                            <w:color w:val="333333"/>
                            <w:sz w:val="20"/>
                            <w:szCs w:val="20"/>
                          </w:rPr>
                          <w:t>, University of Central Florida, College of Medicine, Orlando, FL</w:t>
                        </w:r>
                        <w:r>
                          <w:rPr>
                            <w:rStyle w:val="apple-converted-space"/>
                            <w:color w:val="333333"/>
                            <w:sz w:val="20"/>
                            <w:szCs w:val="20"/>
                          </w:rPr>
                          <w:t> </w:t>
                        </w:r>
                        <w:r>
                          <w:rPr>
                            <w:color w:val="333333"/>
                            <w:sz w:val="20"/>
                            <w:szCs w:val="20"/>
                          </w:rPr>
                          <w:br/>
                        </w:r>
                        <w:r>
                          <w:rPr>
                            <w:rStyle w:val="Emphasis"/>
                            <w:color w:val="333333"/>
                            <w:sz w:val="20"/>
                            <w:szCs w:val="20"/>
                          </w:rPr>
                          <w:lastRenderedPageBreak/>
                          <w:t>Founder,</w:t>
                        </w:r>
                        <w:r>
                          <w:rPr>
                            <w:rStyle w:val="apple-converted-space"/>
                            <w:color w:val="333333"/>
                            <w:sz w:val="20"/>
                            <w:szCs w:val="20"/>
                          </w:rPr>
                          <w:t> </w:t>
                        </w:r>
                        <w:r>
                          <w:rPr>
                            <w:color w:val="333333"/>
                            <w:sz w:val="20"/>
                            <w:szCs w:val="20"/>
                          </w:rPr>
                          <w:t>Institute for Hormonal Balance, Orlando, FL</w:t>
                        </w:r>
                        <w:r>
                          <w:rPr>
                            <w:rStyle w:val="apple-converted-space"/>
                            <w:color w:val="333333"/>
                            <w:sz w:val="20"/>
                            <w:szCs w:val="20"/>
                          </w:rPr>
                          <w:t> </w:t>
                        </w:r>
                        <w:r>
                          <w:rPr>
                            <w:color w:val="333333"/>
                            <w:sz w:val="20"/>
                            <w:szCs w:val="20"/>
                          </w:rPr>
                          <w:br/>
                        </w:r>
                        <w:r>
                          <w:rPr>
                            <w:rStyle w:val="Emphasis"/>
                            <w:color w:val="333333"/>
                            <w:sz w:val="20"/>
                            <w:szCs w:val="20"/>
                          </w:rPr>
                          <w:t>Member,</w:t>
                        </w:r>
                        <w:r>
                          <w:rPr>
                            <w:rStyle w:val="apple-converted-space"/>
                            <w:color w:val="333333"/>
                            <w:sz w:val="20"/>
                            <w:szCs w:val="20"/>
                          </w:rPr>
                          <w:t> </w:t>
                        </w:r>
                        <w:r>
                          <w:rPr>
                            <w:color w:val="333333"/>
                            <w:sz w:val="20"/>
                            <w:szCs w:val="20"/>
                          </w:rPr>
                          <w:t>AMMG Planning Committee</w:t>
                        </w:r>
                      </w:p>
                      <w:p w:rsidR="00497DD4" w:rsidRDefault="00497DD4">
                        <w:pPr>
                          <w:pStyle w:val="NormalWeb"/>
                          <w:shd w:val="clear" w:color="auto" w:fill="FFFFFF"/>
                          <w:spacing w:line="270" w:lineRule="atLeast"/>
                        </w:pPr>
                        <w:r>
                          <w:rPr>
                            <w:rStyle w:val="Strong"/>
                            <w:color w:val="048DAC"/>
                          </w:rPr>
                          <w:t>Toxicants and Clinical Practice: An Underappreciated ‘Root Cause’ for Chronic Disease</w:t>
                        </w:r>
                        <w:r>
                          <w:rPr>
                            <w:color w:val="048DAC"/>
                          </w:rPr>
                          <w:br/>
                        </w:r>
                        <w:r>
                          <w:rPr>
                            <w:b/>
                            <w:bCs/>
                            <w:color w:val="333333"/>
                            <w:sz w:val="20"/>
                            <w:szCs w:val="20"/>
                          </w:rPr>
                          <w:br/>
                        </w:r>
                        <w:r>
                          <w:rPr>
                            <w:rStyle w:val="Strong"/>
                            <w:color w:val="333333"/>
                            <w:sz w:val="20"/>
                            <w:szCs w:val="20"/>
                          </w:rPr>
                          <w:t>Kara Fitzgerald, ND</w:t>
                        </w:r>
                        <w:r>
                          <w:rPr>
                            <w:color w:val="333333"/>
                            <w:sz w:val="20"/>
                            <w:szCs w:val="20"/>
                          </w:rPr>
                          <w:br/>
                        </w:r>
                        <w:r>
                          <w:rPr>
                            <w:rStyle w:val="Emphasis"/>
                            <w:color w:val="333333"/>
                            <w:sz w:val="20"/>
                            <w:szCs w:val="20"/>
                          </w:rPr>
                          <w:t>Adjunct Faculty,</w:t>
                        </w:r>
                        <w:r>
                          <w:rPr>
                            <w:rStyle w:val="apple-converted-space"/>
                            <w:i/>
                            <w:iCs/>
                            <w:color w:val="333333"/>
                            <w:sz w:val="20"/>
                            <w:szCs w:val="20"/>
                          </w:rPr>
                          <w:t> </w:t>
                        </w:r>
                        <w:r>
                          <w:rPr>
                            <w:color w:val="333333"/>
                            <w:sz w:val="20"/>
                            <w:szCs w:val="20"/>
                          </w:rPr>
                          <w:t>University of Bridgeport, CT</w:t>
                        </w:r>
                        <w:r>
                          <w:rPr>
                            <w:rStyle w:val="apple-converted-space"/>
                            <w:color w:val="333333"/>
                            <w:sz w:val="20"/>
                            <w:szCs w:val="20"/>
                          </w:rPr>
                          <w:t> </w:t>
                        </w:r>
                        <w:r>
                          <w:rPr>
                            <w:color w:val="333333"/>
                            <w:sz w:val="20"/>
                            <w:szCs w:val="20"/>
                          </w:rPr>
                          <w:br/>
                        </w:r>
                        <w:r>
                          <w:rPr>
                            <w:rStyle w:val="Emphasis"/>
                            <w:color w:val="333333"/>
                            <w:sz w:val="20"/>
                            <w:szCs w:val="20"/>
                          </w:rPr>
                          <w:t>Clinician &amp; Researcher</w:t>
                        </w:r>
                        <w:r>
                          <w:rPr>
                            <w:color w:val="333333"/>
                            <w:sz w:val="20"/>
                            <w:szCs w:val="20"/>
                          </w:rPr>
                          <w:t>, Family Institute for Therapeutic Discovery, Sandy Hook Clinic, Newtown, CT</w:t>
                        </w:r>
                        <w:r>
                          <w:rPr>
                            <w:rStyle w:val="apple-converted-space"/>
                            <w:color w:val="333333"/>
                            <w:sz w:val="20"/>
                            <w:szCs w:val="20"/>
                          </w:rPr>
                          <w:t> </w:t>
                        </w:r>
                        <w:r>
                          <w:rPr>
                            <w:color w:val="333333"/>
                            <w:sz w:val="20"/>
                            <w:szCs w:val="20"/>
                          </w:rPr>
                          <w:br/>
                        </w:r>
                        <w:r>
                          <w:rPr>
                            <w:rStyle w:val="Emphasis"/>
                            <w:color w:val="333333"/>
                            <w:sz w:val="20"/>
                            <w:szCs w:val="20"/>
                          </w:rPr>
                          <w:t>Faculty</w:t>
                        </w:r>
                        <w:r>
                          <w:rPr>
                            <w:color w:val="333333"/>
                            <w:sz w:val="20"/>
                            <w:szCs w:val="20"/>
                          </w:rPr>
                          <w:t>, Institute of Functional Medicine</w:t>
                        </w:r>
                      </w:p>
                      <w:p w:rsidR="00497DD4" w:rsidRDefault="00497DD4">
                        <w:pPr>
                          <w:rPr>
                            <w:rFonts w:eastAsia="Times New Roman"/>
                          </w:rPr>
                        </w:pPr>
                        <w:r>
                          <w:rPr>
                            <w:rFonts w:eastAsia="Times New Roman"/>
                          </w:rPr>
                          <w:t> </w:t>
                        </w:r>
                      </w:p>
                      <w:p w:rsidR="00497DD4" w:rsidRDefault="00497DD4">
                        <w:pPr>
                          <w:pStyle w:val="NormalWeb"/>
                          <w:shd w:val="clear" w:color="auto" w:fill="FCFCF8"/>
                          <w:spacing w:line="285" w:lineRule="atLeast"/>
                        </w:pPr>
                        <w:r>
                          <w:rPr>
                            <w:color w:val="1D5381"/>
                            <w:sz w:val="21"/>
                            <w:szCs w:val="21"/>
                          </w:rPr>
                          <w:t>AMMG, in partnership with the Age Management Medicine Education Foundation(AMMEF) proudly offers</w:t>
                        </w:r>
                        <w:r>
                          <w:rPr>
                            <w:rStyle w:val="apple-converted-space"/>
                            <w:color w:val="1D5381"/>
                            <w:sz w:val="21"/>
                            <w:szCs w:val="21"/>
                          </w:rPr>
                          <w:t> </w:t>
                        </w:r>
                        <w:r>
                          <w:rPr>
                            <w:rStyle w:val="Strong"/>
                            <w:color w:val="1D5381"/>
                            <w:sz w:val="21"/>
                            <w:szCs w:val="21"/>
                          </w:rPr>
                          <w:t>Physician Training &amp; Certification in Age Management Medicine</w:t>
                        </w:r>
                        <w:r>
                          <w:rPr>
                            <w:color w:val="1D5381"/>
                            <w:sz w:val="21"/>
                            <w:szCs w:val="21"/>
                          </w:rPr>
                          <w:t>—a scientific, evidence-based educational program leading to part-time and full-time opportunities nationwide.</w:t>
                        </w:r>
                      </w:p>
                      <w:p w:rsidR="00497DD4" w:rsidRDefault="00497DD4">
                        <w:pPr>
                          <w:pStyle w:val="NormalWeb"/>
                          <w:shd w:val="clear" w:color="auto" w:fill="FCFCF8"/>
                          <w:spacing w:line="285" w:lineRule="atLeast"/>
                        </w:pPr>
                        <w:r>
                          <w:rPr>
                            <w:color w:val="1D5381"/>
                            <w:sz w:val="23"/>
                            <w:szCs w:val="23"/>
                          </w:rPr>
                          <w:t>Hailed by past participants as “one of the most valuable learning experiences since medical school,” the program includes self-guided study, didactic with case studies and ethical business models to better achieve long-range success.</w:t>
                        </w:r>
                      </w:p>
                      <w:p w:rsidR="00497DD4" w:rsidRDefault="00497DD4">
                        <w:pPr>
                          <w:pStyle w:val="NormalWeb"/>
                          <w:shd w:val="clear" w:color="auto" w:fill="FCFCF8"/>
                          <w:spacing w:line="330" w:lineRule="atLeast"/>
                          <w:jc w:val="center"/>
                        </w:pPr>
                        <w:r>
                          <w:rPr>
                            <w:rStyle w:val="Strong"/>
                            <w:color w:val="BF9A30"/>
                            <w:sz w:val="27"/>
                            <w:szCs w:val="27"/>
                          </w:rPr>
                          <w:t>PLUS:</w:t>
                        </w:r>
                        <w:r>
                          <w:rPr>
                            <w:rStyle w:val="apple-converted-space"/>
                            <w:b/>
                            <w:bCs/>
                            <w:color w:val="BF9A30"/>
                            <w:sz w:val="27"/>
                            <w:szCs w:val="27"/>
                          </w:rPr>
                          <w:t> </w:t>
                        </w:r>
                        <w:r>
                          <w:rPr>
                            <w:color w:val="BF9A30"/>
                            <w:sz w:val="27"/>
                            <w:szCs w:val="27"/>
                          </w:rPr>
                          <w:t>AMMG certification for non-M.D. / non-D.O. healthcare professionals.</w:t>
                        </w:r>
                      </w:p>
                      <w:p w:rsidR="00497DD4" w:rsidRDefault="00497DD4">
                        <w:pPr>
                          <w:pStyle w:val="NormalWeb"/>
                          <w:shd w:val="clear" w:color="auto" w:fill="1D5381"/>
                          <w:spacing w:line="360" w:lineRule="atLeast"/>
                          <w:jc w:val="center"/>
                        </w:pPr>
                        <w:r>
                          <w:rPr>
                            <w:color w:val="FFFFFF"/>
                            <w:sz w:val="29"/>
                            <w:szCs w:val="29"/>
                          </w:rPr>
                          <w:t>For details email</w:t>
                        </w:r>
                        <w:r>
                          <w:rPr>
                            <w:rStyle w:val="apple-converted-space"/>
                            <w:color w:val="FFFFFF"/>
                            <w:sz w:val="29"/>
                            <w:szCs w:val="29"/>
                          </w:rPr>
                          <w:t> </w:t>
                        </w:r>
                        <w:hyperlink r:id="rId6" w:tgtFrame="_blank" w:history="1">
                          <w:r>
                            <w:rPr>
                              <w:rStyle w:val="Hyperlink"/>
                              <w:b/>
                              <w:bCs/>
                              <w:color w:val="FFFFFF"/>
                              <w:sz w:val="29"/>
                              <w:szCs w:val="29"/>
                            </w:rPr>
                            <w:t>certification@agemed.org</w:t>
                          </w:r>
                        </w:hyperlink>
                        <w:r>
                          <w:rPr>
                            <w:rStyle w:val="apple-converted-space"/>
                            <w:color w:val="FFFFFF"/>
                            <w:sz w:val="29"/>
                            <w:szCs w:val="29"/>
                          </w:rPr>
                          <w:t> </w:t>
                        </w:r>
                        <w:r>
                          <w:rPr>
                            <w:color w:val="FFFFFF"/>
                            <w:sz w:val="29"/>
                            <w:szCs w:val="29"/>
                          </w:rPr>
                          <w:br/>
                          <w:t>or visit</w:t>
                        </w:r>
                        <w:r>
                          <w:rPr>
                            <w:rStyle w:val="apple-converted-space"/>
                            <w:color w:val="FFFFFF"/>
                            <w:sz w:val="29"/>
                            <w:szCs w:val="29"/>
                          </w:rPr>
                          <w:t> </w:t>
                        </w:r>
                        <w:hyperlink r:id="rId7" w:history="1">
                          <w:r>
                            <w:rPr>
                              <w:rStyle w:val="Hyperlink"/>
                              <w:b/>
                              <w:bCs/>
                              <w:color w:val="FFFFFF"/>
                              <w:sz w:val="29"/>
                              <w:szCs w:val="29"/>
                            </w:rPr>
                            <w:t>agemed.org</w:t>
                          </w:r>
                        </w:hyperlink>
                      </w:p>
                    </w:tc>
                    <w:tc>
                      <w:tcPr>
                        <w:tcW w:w="240" w:type="dxa"/>
                        <w:tcBorders>
                          <w:top w:val="nil"/>
                          <w:left w:val="nil"/>
                          <w:bottom w:val="nil"/>
                          <w:right w:val="single" w:sz="8" w:space="0" w:color="CCCCCC"/>
                        </w:tcBorders>
                        <w:shd w:val="clear" w:color="auto" w:fill="FFFFFF"/>
                        <w:vAlign w:val="center"/>
                        <w:hideMark/>
                      </w:tcPr>
                      <w:p w:rsidR="00497DD4" w:rsidRDefault="00497DD4">
                        <w:pPr>
                          <w:rPr>
                            <w:rFonts w:eastAsia="Times New Roman"/>
                          </w:rPr>
                        </w:pPr>
                      </w:p>
                    </w:tc>
                    <w:tc>
                      <w:tcPr>
                        <w:tcW w:w="225" w:type="dxa"/>
                        <w:shd w:val="clear" w:color="auto" w:fill="FCFCF8"/>
                        <w:tcMar>
                          <w:top w:w="90" w:type="dxa"/>
                          <w:left w:w="0" w:type="dxa"/>
                          <w:bottom w:w="0" w:type="dxa"/>
                          <w:right w:w="0" w:type="dxa"/>
                        </w:tcMar>
                        <w:hideMark/>
                      </w:tcPr>
                      <w:p w:rsidR="00497DD4" w:rsidRDefault="00497DD4">
                        <w:pPr>
                          <w:rPr>
                            <w:rFonts w:eastAsia="Times New Roman"/>
                          </w:rPr>
                        </w:pPr>
                      </w:p>
                    </w:tc>
                    <w:tc>
                      <w:tcPr>
                        <w:tcW w:w="4545" w:type="dxa"/>
                        <w:shd w:val="clear" w:color="auto" w:fill="FCFCF8"/>
                        <w:tcMar>
                          <w:top w:w="90" w:type="dxa"/>
                          <w:left w:w="0" w:type="dxa"/>
                          <w:bottom w:w="0" w:type="dxa"/>
                          <w:right w:w="0" w:type="dxa"/>
                        </w:tcMar>
                        <w:hideMark/>
                      </w:tcPr>
                      <w:p w:rsidR="00497DD4" w:rsidRDefault="00497DD4">
                        <w:pPr>
                          <w:pStyle w:val="NormalWeb"/>
                          <w:spacing w:line="360" w:lineRule="atLeast"/>
                        </w:pPr>
                        <w:r>
                          <w:rPr>
                            <w:rStyle w:val="Strong"/>
                            <w:color w:val="6B24AD"/>
                            <w:sz w:val="27"/>
                            <w:szCs w:val="27"/>
                          </w:rPr>
                          <w:t>Take on the root cause of disease. Grow your knowledge with expert presentations on toxins and detoxification treatments.</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Learn the role of heavy metals—along with the interactions between hormones and nutrients—and the function of the liver and bowel on hormonal function.</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Discover the order of interventions regarding detoxification, hormones, and nutrition.</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Hear an insightful review of the controversy on diagnosing heavy metals—silent killers like mercury, lead, arsenic and cadmium—and their treatment.</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 xml:space="preserve">Explore the root cause of chronic disease—toxicants—and learn </w:t>
                        </w:r>
                        <w:r>
                          <w:rPr>
                            <w:rFonts w:eastAsia="Times New Roman"/>
                            <w:color w:val="333333"/>
                            <w:sz w:val="23"/>
                            <w:szCs w:val="23"/>
                          </w:rPr>
                          <w:lastRenderedPageBreak/>
                          <w:t>how identifying environmental toxin load can aid in the full understanding of their impact on the entire body’s function.</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Get down to the basics of detoxification by understanding how to identify and address toxins—as well as learning the effects of toxins on hormone function, genes, organs, and health.</w:t>
                        </w:r>
                      </w:p>
                      <w:p w:rsidR="00497DD4" w:rsidRDefault="00497DD4" w:rsidP="000E79ED">
                        <w:pPr>
                          <w:numPr>
                            <w:ilvl w:val="0"/>
                            <w:numId w:val="1"/>
                          </w:numPr>
                          <w:spacing w:after="240" w:line="255" w:lineRule="atLeast"/>
                          <w:rPr>
                            <w:rFonts w:eastAsia="Times New Roman"/>
                            <w:color w:val="333333"/>
                          </w:rPr>
                        </w:pPr>
                        <w:r>
                          <w:rPr>
                            <w:rFonts w:eastAsia="Times New Roman"/>
                            <w:color w:val="333333"/>
                            <w:sz w:val="23"/>
                            <w:szCs w:val="23"/>
                          </w:rPr>
                          <w:t>Grow your knowledge of toxins by hearing illustrative cases using the 5-point model to demonstrate the application of various interventions.</w:t>
                        </w:r>
                      </w:p>
                      <w:p w:rsidR="00497DD4" w:rsidRDefault="00497DD4" w:rsidP="000E79ED">
                        <w:pPr>
                          <w:numPr>
                            <w:ilvl w:val="0"/>
                            <w:numId w:val="1"/>
                          </w:numPr>
                          <w:spacing w:line="255" w:lineRule="atLeast"/>
                          <w:rPr>
                            <w:rFonts w:eastAsia="Times New Roman"/>
                            <w:color w:val="333333"/>
                          </w:rPr>
                        </w:pPr>
                        <w:r>
                          <w:rPr>
                            <w:rFonts w:eastAsia="Times New Roman"/>
                            <w:color w:val="333333"/>
                            <w:sz w:val="23"/>
                            <w:szCs w:val="23"/>
                          </w:rPr>
                          <w:t>Engage in a case study discussion with our faculty on treatment options and clinical best practices.</w:t>
                        </w:r>
                      </w:p>
                      <w:p w:rsidR="00497DD4" w:rsidRDefault="00497DD4">
                        <w:pPr>
                          <w:pStyle w:val="NormalWeb"/>
                          <w:spacing w:line="300" w:lineRule="atLeast"/>
                          <w:jc w:val="center"/>
                        </w:pPr>
                        <w:r>
                          <w:rPr>
                            <w:color w:val="1D5381"/>
                            <w:spacing w:val="30"/>
                            <w:sz w:val="23"/>
                            <w:szCs w:val="23"/>
                          </w:rPr>
                          <w:t>SPRING 2015 LOCATION</w:t>
                        </w:r>
                        <w:r>
                          <w:rPr>
                            <w:color w:val="1D5381"/>
                          </w:rPr>
                          <w:br/>
                        </w:r>
                        <w:r>
                          <w:rPr>
                            <w:rStyle w:val="Strong"/>
                            <w:color w:val="1D5381"/>
                          </w:rPr>
                          <w:t>JW Marriott/Ritz Carlton - Grande Lakes</w:t>
                        </w:r>
                        <w:r>
                          <w:rPr>
                            <w:color w:val="1D5381"/>
                          </w:rPr>
                          <w:br/>
                          <w:t>Orlando, Florida</w:t>
                        </w:r>
                      </w:p>
                      <w:p w:rsidR="00497DD4" w:rsidRDefault="00497DD4">
                        <w:pPr>
                          <w:pStyle w:val="NormalWeb"/>
                          <w:spacing w:line="225" w:lineRule="atLeast"/>
                        </w:pPr>
                        <w:r>
                          <w:rPr>
                            <w:color w:val="333333"/>
                            <w:sz w:val="20"/>
                            <w:szCs w:val="20"/>
                          </w:rPr>
                          <w:t>Enjoy first-class amenities at</w:t>
                        </w:r>
                        <w:r>
                          <w:rPr>
                            <w:rStyle w:val="apple-converted-space"/>
                            <w:color w:val="333333"/>
                            <w:sz w:val="20"/>
                            <w:szCs w:val="20"/>
                          </w:rPr>
                          <w:t> </w:t>
                        </w:r>
                        <w:hyperlink r:id="rId8" w:tgtFrame="_blank" w:history="1">
                          <w:r>
                            <w:rPr>
                              <w:rStyle w:val="Strong"/>
                              <w:color w:val="137990"/>
                              <w:sz w:val="20"/>
                              <w:szCs w:val="20"/>
                              <w:u w:val="single"/>
                            </w:rPr>
                            <w:t>JW Marriott/Ritz Carlton - Grande Lakes</w:t>
                          </w:r>
                        </w:hyperlink>
                        <w:r>
                          <w:rPr>
                            <w:color w:val="333333"/>
                            <w:sz w:val="20"/>
                            <w:szCs w:val="20"/>
                          </w:rPr>
                          <w:t>, the crown jewel of Orlando luxury resort hotels. Featuring a 500 acre setting of lush tropical landscape, pristine lakes, sweeping vistas and fragrant gardens, located only minutes from the fun and excitement of Orlando’s theme parks. This upscale resort matches outstanding service with a dazzling a wealth of fine touches.</w:t>
                        </w:r>
                      </w:p>
                      <w:p w:rsidR="00497DD4" w:rsidRDefault="00497DD4">
                        <w:pPr>
                          <w:pStyle w:val="NormalWeb"/>
                          <w:spacing w:line="225" w:lineRule="atLeast"/>
                        </w:pPr>
                        <w:r>
                          <w:rPr>
                            <w:rStyle w:val="Strong"/>
                            <w:color w:val="333333"/>
                            <w:sz w:val="20"/>
                            <w:szCs w:val="20"/>
                          </w:rPr>
                          <w:t>The AMMG Conference will be held in the Conference Center adjoining the JW Marriott and the Ritz Carlton.</w:t>
                        </w:r>
                        <w:r>
                          <w:rPr>
                            <w:rStyle w:val="apple-converted-space"/>
                            <w:b/>
                            <w:bCs/>
                            <w:color w:val="333333"/>
                            <w:sz w:val="20"/>
                            <w:szCs w:val="20"/>
                          </w:rPr>
                          <w:t> </w:t>
                        </w:r>
                        <w:r>
                          <w:rPr>
                            <w:color w:val="333333"/>
                            <w:sz w:val="20"/>
                            <w:szCs w:val="20"/>
                          </w:rPr>
                          <w:t>Our main block of discounted rooms is in the JW Marriott at $229 per night. Additional discounted rooms are available at the Ritz Carlton for $289 per night.</w:t>
                        </w:r>
                      </w:p>
                      <w:p w:rsidR="00497DD4" w:rsidRDefault="00497DD4">
                        <w:pPr>
                          <w:pStyle w:val="NormalWeb"/>
                        </w:pPr>
                        <w:r>
                          <w:rPr>
                            <w:rStyle w:val="Emphasis"/>
                          </w:rPr>
                          <w:t xml:space="preserve">Be sure to mention that you are attending the Age Management </w:t>
                        </w:r>
                        <w:r>
                          <w:rPr>
                            <w:rStyle w:val="Emphasis"/>
                          </w:rPr>
                          <w:lastRenderedPageBreak/>
                          <w:t>Medicine (AMMG) Conference to receive discounted rates.</w:t>
                        </w:r>
                      </w:p>
                      <w:p w:rsidR="00497DD4" w:rsidRDefault="00497DD4">
                        <w:pPr>
                          <w:pStyle w:val="NormalWeb"/>
                        </w:pPr>
                        <w:hyperlink r:id="rId9" w:tgtFrame="_blank" w:history="1">
                          <w:r>
                            <w:rPr>
                              <w:rStyle w:val="Strong"/>
                              <w:color w:val="137990"/>
                              <w:sz w:val="27"/>
                              <w:szCs w:val="27"/>
                              <w:u w:val="single"/>
                            </w:rPr>
                            <w:t>Online Room Reservations</w:t>
                          </w:r>
                          <w:r>
                            <w:rPr>
                              <w:rStyle w:val="apple-converted-space"/>
                              <w:color w:val="137990"/>
                              <w:sz w:val="27"/>
                              <w:szCs w:val="27"/>
                              <w:u w:val="single"/>
                            </w:rPr>
                            <w:t> </w:t>
                          </w:r>
                        </w:hyperlink>
                        <w:r>
                          <w:rPr>
                            <w:color w:val="137990"/>
                            <w:sz w:val="27"/>
                            <w:szCs w:val="27"/>
                          </w:rPr>
                          <w:t>&gt;</w:t>
                        </w:r>
                      </w:p>
                    </w:tc>
                    <w:tc>
                      <w:tcPr>
                        <w:tcW w:w="300" w:type="dxa"/>
                        <w:shd w:val="clear" w:color="auto" w:fill="FCFCF8"/>
                        <w:tcMar>
                          <w:top w:w="90" w:type="dxa"/>
                          <w:left w:w="0" w:type="dxa"/>
                          <w:bottom w:w="0" w:type="dxa"/>
                          <w:right w:w="0" w:type="dxa"/>
                        </w:tcMar>
                        <w:hideMark/>
                      </w:tcPr>
                      <w:p w:rsidR="00497DD4" w:rsidRDefault="00497DD4">
                        <w:pPr>
                          <w:rPr>
                            <w:rFonts w:eastAsia="Times New Roman"/>
                          </w:rPr>
                        </w:pPr>
                        <w:r>
                          <w:rPr>
                            <w:rFonts w:eastAsia="Times New Roman"/>
                            <w:bdr w:val="single" w:sz="8" w:space="0" w:color="auto" w:frame="1"/>
                          </w:rPr>
                          <w:lastRenderedPageBreak/>
                          <w:t>&lt;image004.jpg&gt;</w:t>
                        </w:r>
                      </w:p>
                    </w:tc>
                  </w:tr>
                </w:tbl>
                <w:p w:rsidR="00497DD4" w:rsidRDefault="00497DD4">
                  <w:pPr>
                    <w:rPr>
                      <w:rFonts w:eastAsia="Times New Roman"/>
                      <w:vanish/>
                    </w:rPr>
                  </w:pPr>
                </w:p>
                <w:tbl>
                  <w:tblPr>
                    <w:tblW w:w="11250" w:type="dxa"/>
                    <w:tblCellSpacing w:w="0" w:type="dxa"/>
                    <w:shd w:val="clear" w:color="auto" w:fill="FCFBF8"/>
                    <w:tblCellMar>
                      <w:left w:w="0" w:type="dxa"/>
                      <w:right w:w="0" w:type="dxa"/>
                    </w:tblCellMar>
                    <w:tblLook w:val="04A0" w:firstRow="1" w:lastRow="0" w:firstColumn="1" w:lastColumn="0" w:noHBand="0" w:noVBand="1"/>
                  </w:tblPr>
                  <w:tblGrid>
                    <w:gridCol w:w="11250"/>
                  </w:tblGrid>
                  <w:tr w:rsidR="00497DD4">
                    <w:trPr>
                      <w:tblCellSpacing w:w="0" w:type="dxa"/>
                    </w:trPr>
                    <w:tc>
                      <w:tcPr>
                        <w:tcW w:w="0" w:type="auto"/>
                        <w:shd w:val="clear" w:color="auto" w:fill="FCFBF8"/>
                        <w:vAlign w:val="center"/>
                        <w:hideMark/>
                      </w:tcPr>
                      <w:p w:rsidR="00497DD4" w:rsidRDefault="00497DD4" w:rsidP="00497DD4">
                        <w:pPr>
                          <w:rPr>
                            <w:rFonts w:eastAsia="Times New Roman"/>
                          </w:rPr>
                        </w:pPr>
                      </w:p>
                    </w:tc>
                  </w:tr>
                </w:tbl>
                <w:p w:rsidR="00497DD4" w:rsidRDefault="00497DD4">
                  <w:pPr>
                    <w:rPr>
                      <w:rFonts w:eastAsia="Times New Roman"/>
                      <w:vanish/>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497DD4">
                    <w:trPr>
                      <w:tblCellSpacing w:w="0" w:type="dxa"/>
                    </w:trPr>
                    <w:tc>
                      <w:tcPr>
                        <w:tcW w:w="11250" w:type="dxa"/>
                        <w:shd w:val="clear" w:color="auto" w:fill="FFFFFF"/>
                        <w:hideMark/>
                      </w:tcPr>
                      <w:p w:rsidR="00497DD4" w:rsidRDefault="00497DD4">
                        <w:pPr>
                          <w:pStyle w:val="NormalWeb"/>
                          <w:spacing w:line="315" w:lineRule="atLeast"/>
                          <w:ind w:left="300"/>
                        </w:pPr>
                        <w:r>
                          <w:rPr>
                            <w:color w:val="575757"/>
                            <w:sz w:val="18"/>
                            <w:szCs w:val="18"/>
                          </w:rPr>
                          <w:t>Address inquiries to</w:t>
                        </w:r>
                        <w:r>
                          <w:rPr>
                            <w:rStyle w:val="apple-converted-space"/>
                            <w:color w:val="575757"/>
                            <w:sz w:val="18"/>
                            <w:szCs w:val="18"/>
                          </w:rPr>
                          <w:t> </w:t>
                        </w:r>
                        <w:hyperlink r:id="rId10" w:history="1">
                          <w:r>
                            <w:rPr>
                              <w:rStyle w:val="Strong"/>
                              <w:color w:val="1D5381"/>
                              <w:sz w:val="18"/>
                              <w:szCs w:val="18"/>
                              <w:u w:val="single"/>
                            </w:rPr>
                            <w:t>conference@AgeMed.org</w:t>
                          </w:r>
                        </w:hyperlink>
                        <w:r>
                          <w:rPr>
                            <w:rStyle w:val="apple-converted-space"/>
                            <w:color w:val="575757"/>
                            <w:sz w:val="18"/>
                            <w:szCs w:val="18"/>
                          </w:rPr>
                          <w:t> </w:t>
                        </w:r>
                        <w:r>
                          <w:rPr>
                            <w:color w:val="575757"/>
                            <w:sz w:val="18"/>
                            <w:szCs w:val="18"/>
                          </w:rPr>
                          <w:t>or</w:t>
                        </w:r>
                        <w:r>
                          <w:rPr>
                            <w:rStyle w:val="apple-converted-space"/>
                            <w:color w:val="575757"/>
                            <w:sz w:val="18"/>
                            <w:szCs w:val="18"/>
                          </w:rPr>
                          <w:t> </w:t>
                        </w:r>
                        <w:r>
                          <w:rPr>
                            <w:rStyle w:val="Strong"/>
                            <w:color w:val="575757"/>
                            <w:sz w:val="18"/>
                            <w:szCs w:val="18"/>
                          </w:rPr>
                          <w:t>847.579.1088</w:t>
                        </w:r>
                        <w:r>
                          <w:rPr>
                            <w:color w:val="575757"/>
                            <w:sz w:val="18"/>
                            <w:szCs w:val="18"/>
                          </w:rPr>
                          <w:br/>
                        </w:r>
                        <w:r>
                          <w:rPr>
                            <w:color w:val="575757"/>
                            <w:sz w:val="18"/>
                            <w:szCs w:val="18"/>
                          </w:rPr>
                          <w:br/>
                        </w:r>
                        <w:r>
                          <w:rPr>
                            <w:rStyle w:val="Strong"/>
                            <w:color w:val="575757"/>
                            <w:sz w:val="18"/>
                            <w:szCs w:val="18"/>
                          </w:rPr>
                          <w:t>Age Management Medicine Group</w:t>
                        </w:r>
                        <w:r>
                          <w:rPr>
                            <w:color w:val="575757"/>
                            <w:sz w:val="18"/>
                            <w:szCs w:val="18"/>
                          </w:rPr>
                          <w:br/>
                          <w:t>1534 Serrano Circle, Naples, FL 34105</w:t>
                        </w:r>
                        <w:r>
                          <w:rPr>
                            <w:color w:val="575757"/>
                            <w:sz w:val="18"/>
                            <w:szCs w:val="18"/>
                          </w:rPr>
                          <w:br/>
                          <w:t>Phone: 847.579.1088</w:t>
                        </w:r>
                        <w:r>
                          <w:rPr>
                            <w:color w:val="575757"/>
                            <w:sz w:val="18"/>
                            <w:szCs w:val="18"/>
                          </w:rPr>
                          <w:br/>
                          <w:t>Email:</w:t>
                        </w:r>
                        <w:r>
                          <w:rPr>
                            <w:rStyle w:val="apple-converted-space"/>
                            <w:color w:val="575757"/>
                            <w:sz w:val="18"/>
                            <w:szCs w:val="18"/>
                          </w:rPr>
                          <w:t> </w:t>
                        </w:r>
                        <w:hyperlink r:id="rId11" w:history="1">
                          <w:r>
                            <w:rPr>
                              <w:rStyle w:val="Hyperlink"/>
                              <w:color w:val="800080"/>
                              <w:sz w:val="18"/>
                              <w:szCs w:val="18"/>
                            </w:rPr>
                            <w:t>conference@AgeMed.org</w:t>
                          </w:r>
                        </w:hyperlink>
                        <w:r>
                          <w:rPr>
                            <w:color w:val="575757"/>
                            <w:sz w:val="18"/>
                            <w:szCs w:val="18"/>
                          </w:rPr>
                          <w:br/>
                        </w:r>
                        <w:hyperlink r:id="rId12" w:tgtFrame="_blank" w:history="1">
                          <w:r>
                            <w:rPr>
                              <w:rStyle w:val="Strong"/>
                              <w:color w:val="1D5381"/>
                              <w:sz w:val="18"/>
                              <w:szCs w:val="18"/>
                              <w:u w:val="single"/>
                            </w:rPr>
                            <w:t>www.agemed.org</w:t>
                          </w:r>
                        </w:hyperlink>
                      </w:p>
                    </w:tc>
                  </w:tr>
                </w:tbl>
                <w:p w:rsidR="00497DD4" w:rsidRDefault="00497DD4">
                  <w:pPr>
                    <w:jc w:val="center"/>
                    <w:rPr>
                      <w:rFonts w:eastAsia="Times New Roman"/>
                      <w:vanish/>
                    </w:rPr>
                  </w:pPr>
                </w:p>
                <w:p w:rsidR="00497DD4" w:rsidRDefault="00497DD4">
                  <w:pPr>
                    <w:rPr>
                      <w:rFonts w:eastAsia="Times New Roman"/>
                      <w:sz w:val="20"/>
                      <w:szCs w:val="20"/>
                    </w:rPr>
                  </w:pPr>
                  <w:bookmarkStart w:id="0" w:name="_GoBack"/>
                  <w:bookmarkEnd w:id="0"/>
                </w:p>
              </w:tc>
            </w:tr>
          </w:tbl>
          <w:p w:rsidR="00497DD4" w:rsidRDefault="00497DD4">
            <w:pPr>
              <w:jc w:val="center"/>
              <w:rPr>
                <w:rFonts w:eastAsia="Times New Roman"/>
                <w:sz w:val="20"/>
                <w:szCs w:val="20"/>
              </w:rPr>
            </w:pPr>
          </w:p>
        </w:tc>
      </w:tr>
    </w:tbl>
    <w:p w:rsidR="00497DD4" w:rsidRDefault="00497DD4" w:rsidP="00497DD4">
      <w:pPr>
        <w:shd w:val="clear" w:color="auto" w:fill="FFFFFF"/>
        <w:rPr>
          <w:rFonts w:eastAsia="Times New Roman"/>
        </w:rPr>
      </w:pPr>
      <w:r>
        <w:rPr>
          <w:rFonts w:eastAsia="Times New Roman"/>
        </w:rPr>
        <w:lastRenderedPageBreak/>
        <w:t> </w:t>
      </w:r>
    </w:p>
    <w:p w:rsidR="001009C1" w:rsidRDefault="001009C1"/>
    <w:sectPr w:rsidR="0010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6F6"/>
    <w:multiLevelType w:val="multilevel"/>
    <w:tmpl w:val="C2D60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D4"/>
    <w:rsid w:val="001009C1"/>
    <w:rsid w:val="0049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9E2C9-30CD-4E31-9E7D-C8A4C9AD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DD4"/>
    <w:rPr>
      <w:color w:val="0000FF"/>
      <w:u w:val="single"/>
    </w:rPr>
  </w:style>
  <w:style w:type="paragraph" w:styleId="NormalWeb">
    <w:name w:val="Normal (Web)"/>
    <w:basedOn w:val="Normal"/>
    <w:uiPriority w:val="99"/>
    <w:semiHidden/>
    <w:unhideWhenUsed/>
    <w:rsid w:val="00497DD4"/>
    <w:pPr>
      <w:spacing w:before="100" w:beforeAutospacing="1" w:after="100" w:afterAutospacing="1"/>
    </w:pPr>
  </w:style>
  <w:style w:type="character" w:customStyle="1" w:styleId="apple-converted-space">
    <w:name w:val="apple-converted-space"/>
    <w:basedOn w:val="DefaultParagraphFont"/>
    <w:rsid w:val="00497DD4"/>
  </w:style>
  <w:style w:type="character" w:styleId="Strong">
    <w:name w:val="Strong"/>
    <w:basedOn w:val="DefaultParagraphFont"/>
    <w:uiPriority w:val="22"/>
    <w:qFormat/>
    <w:rsid w:val="00497DD4"/>
    <w:rPr>
      <w:b/>
      <w:bCs/>
    </w:rPr>
  </w:style>
  <w:style w:type="character" w:styleId="Emphasis">
    <w:name w:val="Emphasis"/>
    <w:basedOn w:val="DefaultParagraphFont"/>
    <w:uiPriority w:val="20"/>
    <w:qFormat/>
    <w:rsid w:val="00497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RedRiverMedia/73d8b2b967/47b11653f2/14467d18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s.vresp.com/c/?RedRiverMedia/73d8b2b967/47b11653f2/43627a7a4f/Code=eb03102015cert" TargetMode="External"/><Relationship Id="rId12" Type="http://schemas.openxmlformats.org/officeDocument/2006/relationships/hyperlink" Target="http://cts.vresp.com/c/?RedRiverMedia/73d8b2b967/47b11653f2/bc73ee6df9/Code=eb031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tification@agemed.org" TargetMode="External"/><Relationship Id="rId11" Type="http://schemas.openxmlformats.org/officeDocument/2006/relationships/hyperlink" Target="mailto:conference@AgeMed.org" TargetMode="External"/><Relationship Id="rId5" Type="http://schemas.openxmlformats.org/officeDocument/2006/relationships/hyperlink" Target="http://cts.vresp.com/c/?RedRiverMedia/73d8b2b967/47b11653f2/e3570fbc10/Code=eb03102015" TargetMode="External"/><Relationship Id="rId10" Type="http://schemas.openxmlformats.org/officeDocument/2006/relationships/hyperlink" Target="mailto:conference@AgeMed.org" TargetMode="External"/><Relationship Id="rId4" Type="http://schemas.openxmlformats.org/officeDocument/2006/relationships/webSettings" Target="webSettings.xml"/><Relationship Id="rId9" Type="http://schemas.openxmlformats.org/officeDocument/2006/relationships/hyperlink" Target="http://cts.vresp.com/c/?RedRiverMedia/73d8b2b967/47b11653f2/32e380f70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cp:revision>
  <dcterms:created xsi:type="dcterms:W3CDTF">2015-03-11T16:47:00Z</dcterms:created>
  <dcterms:modified xsi:type="dcterms:W3CDTF">2015-03-11T16:50:00Z</dcterms:modified>
</cp:coreProperties>
</file>